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CE0" w:rsidRDefault="00F57A07">
      <w:pPr>
        <w:spacing w:after="0" w:line="259" w:lineRule="auto"/>
        <w:ind w:left="850"/>
        <w:jc w:val="center"/>
      </w:pPr>
      <w:r>
        <w:t>T.C.</w:t>
      </w:r>
    </w:p>
    <w:p w:rsidR="00E55CE0" w:rsidRDefault="00F57A07">
      <w:pPr>
        <w:spacing w:after="0" w:line="259" w:lineRule="auto"/>
        <w:ind w:left="840" w:firstLine="0"/>
        <w:jc w:val="left"/>
      </w:pPr>
      <w:r>
        <w:t>DEVLET DEMİRYOLLARI TAŞIMACILIK A.Ş. GENEL MÜDÜRLÜĞÜ</w:t>
      </w:r>
    </w:p>
    <w:p w:rsidR="00E55CE0" w:rsidRDefault="00F57A07">
      <w:pPr>
        <w:spacing w:after="304" w:line="259" w:lineRule="auto"/>
        <w:ind w:left="850"/>
        <w:jc w:val="center"/>
      </w:pPr>
      <w:r>
        <w:t>Yük Dairesi Başkanlığı</w:t>
      </w:r>
    </w:p>
    <w:p w:rsidR="00E55CE0" w:rsidRDefault="00E55CE0">
      <w:pPr>
        <w:spacing w:after="15" w:line="259" w:lineRule="auto"/>
        <w:ind w:left="0" w:firstLine="0"/>
        <w:jc w:val="left"/>
      </w:pPr>
    </w:p>
    <w:p w:rsidR="00E55CE0" w:rsidRDefault="00E55CE0">
      <w:pPr>
        <w:spacing w:after="30" w:line="259" w:lineRule="auto"/>
        <w:ind w:left="0" w:firstLine="0"/>
        <w:jc w:val="left"/>
      </w:pPr>
    </w:p>
    <w:p w:rsidR="00E55CE0" w:rsidRDefault="00F57A07">
      <w:pPr>
        <w:tabs>
          <w:tab w:val="center" w:pos="1098"/>
          <w:tab w:val="center" w:pos="3061"/>
        </w:tabs>
        <w:spacing w:after="102"/>
        <w:ind w:left="0" w:firstLine="0"/>
        <w:jc w:val="left"/>
      </w:pPr>
      <w:r>
        <w:rPr>
          <w:rFonts w:ascii="Calibri" w:eastAsia="Calibri" w:hAnsi="Calibri" w:cs="Calibri"/>
          <w:sz w:val="22"/>
        </w:rPr>
        <w:tab/>
      </w:r>
    </w:p>
    <w:p w:rsidR="00E55CE0" w:rsidRDefault="00F57A07">
      <w:pPr>
        <w:spacing w:after="63"/>
        <w:ind w:left="1731" w:right="5044" w:hanging="876"/>
      </w:pPr>
      <w:proofErr w:type="gramStart"/>
      <w:r>
        <w:t>Konu :Müşteri</w:t>
      </w:r>
      <w:proofErr w:type="gramEnd"/>
      <w:r>
        <w:t xml:space="preserve"> Talep Yönetim Sisteminde 2025 yılı taşıma programlarının oluşturulması.</w:t>
      </w:r>
    </w:p>
    <w:p w:rsidR="00E55CE0" w:rsidRDefault="00E55CE0">
      <w:pPr>
        <w:spacing w:after="105" w:line="259" w:lineRule="auto"/>
        <w:ind w:left="0" w:firstLine="0"/>
        <w:jc w:val="left"/>
      </w:pPr>
    </w:p>
    <w:p w:rsidR="00E55CE0" w:rsidRDefault="00F57A07">
      <w:pPr>
        <w:pStyle w:val="Balk1"/>
        <w:ind w:left="2972" w:right="2107"/>
      </w:pPr>
      <w:r>
        <w:t>DAĞITIM YERLERİNE</w:t>
      </w:r>
    </w:p>
    <w:p w:rsidR="00E55CE0" w:rsidRDefault="00E55CE0">
      <w:pPr>
        <w:spacing w:after="90" w:line="259" w:lineRule="auto"/>
        <w:ind w:left="0" w:firstLine="0"/>
        <w:jc w:val="left"/>
      </w:pPr>
    </w:p>
    <w:p w:rsidR="00E55CE0" w:rsidRDefault="00F57A07">
      <w:pPr>
        <w:tabs>
          <w:tab w:val="center" w:pos="1036"/>
          <w:tab w:val="center" w:pos="4846"/>
        </w:tabs>
        <w:spacing w:after="42"/>
        <w:ind w:left="0" w:firstLine="0"/>
        <w:jc w:val="left"/>
      </w:pPr>
      <w:r>
        <w:rPr>
          <w:rFonts w:ascii="Calibri" w:eastAsia="Calibri" w:hAnsi="Calibri" w:cs="Calibri"/>
          <w:sz w:val="22"/>
        </w:rPr>
        <w:tab/>
      </w:r>
      <w:r>
        <w:t>İlgi</w:t>
      </w:r>
      <w:r>
        <w:tab/>
        <w:t>: 08.11.2024 tarihli ve E-19134786-030.02-686841 sayılı yazımız.</w:t>
      </w:r>
    </w:p>
    <w:p w:rsidR="00E55CE0" w:rsidRDefault="00E55CE0">
      <w:pPr>
        <w:spacing w:after="0" w:line="259" w:lineRule="auto"/>
        <w:ind w:left="0" w:firstLine="0"/>
        <w:jc w:val="left"/>
      </w:pPr>
    </w:p>
    <w:p w:rsidR="00E55CE0" w:rsidRDefault="00F57A07">
      <w:pPr>
        <w:ind w:left="865" w:right="3"/>
      </w:pPr>
      <w:r>
        <w:rPr>
          <w:noProof/>
        </w:rPr>
        <w:drawing>
          <wp:inline distT="0" distB="0" distL="0" distR="0">
            <wp:extent cx="438150" cy="95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4"/>
                    <a:stretch>
                      <a:fillRect/>
                    </a:stretch>
                  </pic:blipFill>
                  <pic:spPr>
                    <a:xfrm>
                      <a:off x="0" y="0"/>
                      <a:ext cx="438150" cy="9525"/>
                    </a:xfrm>
                    <a:prstGeom prst="rect">
                      <a:avLst/>
                    </a:prstGeom>
                  </pic:spPr>
                </pic:pic>
              </a:graphicData>
            </a:graphic>
          </wp:inline>
        </w:drawing>
      </w:r>
      <w:r>
        <w:t xml:space="preserve"> Kuruluşumuzla 2025 yılında yapmayı planladığınız yük taşıma programının, kapasitemize göre değerlendirilebilmesi için; taşıma taleplerinizin Müşteri Talep Yönetim Sistemi (MTYS) uygulaması </w:t>
      </w:r>
      <w:r w:rsidR="00D57F1B" w:rsidRPr="00D57F1B">
        <w:rPr>
          <w:rFonts w:ascii="Calibri" w:eastAsia="Calibri" w:hAnsi="Calibri" w:cs="Calibri"/>
          <w:noProof/>
          <w:sz w:val="22"/>
        </w:rPr>
      </w:r>
      <w:r w:rsidR="00D57F1B" w:rsidRPr="00D57F1B">
        <w:rPr>
          <w:rFonts w:ascii="Calibri" w:eastAsia="Calibri" w:hAnsi="Calibri" w:cs="Calibri"/>
          <w:noProof/>
          <w:sz w:val="22"/>
        </w:rPr>
        <w:pict>
          <v:group id="Group 1145" o:spid="_x0000_s1026" style="width:0;height:.6pt;mso-position-horizontal-relative:char;mso-position-vertical-relative:line" coordsize="0,76">
            <v:shape id="Shape 30" o:spid="_x0000_s1027" style="position:absolute;width:0;height:76" coordsize="0,7620" path="m,7620l,xe" fillcolor="blue" stroked="f" strokeweight="0">
              <v:stroke opacity="0" miterlimit="10" joinstyle="miter" endcap="square"/>
            </v:shape>
            <w10:wrap type="none"/>
            <w10:anchorlock/>
          </v:group>
        </w:pict>
      </w:r>
      <w:r>
        <w:rPr>
          <w:u w:val="single" w:color="0000FF"/>
        </w:rPr>
        <w:t>https://dismobil.tcddtasimacilik.gov.tr</w:t>
      </w:r>
      <w:r>
        <w:t>/ adresi üzerinden 20.10.2024 tarihine kadar sisteme giriş yapılması, talep edilmiş ve müşterilerimizle yapılacak "Taşıma Sözleşmesi"ne göre, müşteri kaynaklı günlük tren iptalleri ve taşımadan tamamen vazgeçilmesi durumundaki tren iptal ücretlerinin  tamamı ilgili müşterimize tahakkuk ettirileceği bunun haricinde, yıl içerisinde Kuruluşumuza yapılacak program dışı taşıma talepleri ise, programsız taşıma olarak kabul edilerek, Eşya Tarifesinin 1.14 maddesi kapsamında   değerlendirileceği ilgi yazımızla bildirilmişti.</w:t>
      </w:r>
    </w:p>
    <w:p w:rsidR="00E55CE0" w:rsidRDefault="00F57A07">
      <w:pPr>
        <w:ind w:left="865" w:right="3"/>
      </w:pPr>
      <w:r>
        <w:rPr>
          <w:noProof/>
        </w:rPr>
        <w:drawing>
          <wp:anchor distT="0" distB="0" distL="114300" distR="114300" simplePos="0" relativeHeight="251658240" behindDoc="0" locked="0" layoutInCell="1" allowOverlap="0">
            <wp:simplePos x="0" y="0"/>
            <wp:positionH relativeFrom="page">
              <wp:posOffset>533400</wp:posOffset>
            </wp:positionH>
            <wp:positionV relativeFrom="page">
              <wp:posOffset>196596</wp:posOffset>
            </wp:positionV>
            <wp:extent cx="685800" cy="647700"/>
            <wp:effectExtent l="0" t="0" r="0" b="0"/>
            <wp:wrapSquare wrapText="bothSides"/>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5" cstate="print"/>
                    <a:stretch>
                      <a:fillRect/>
                    </a:stretch>
                  </pic:blipFill>
                  <pic:spPr>
                    <a:xfrm>
                      <a:off x="0" y="0"/>
                      <a:ext cx="685800" cy="647700"/>
                    </a:xfrm>
                    <a:prstGeom prst="rect">
                      <a:avLst/>
                    </a:prstGeom>
                  </pic:spPr>
                </pic:pic>
              </a:graphicData>
            </a:graphic>
          </wp:anchor>
        </w:drawing>
      </w:r>
      <w:r>
        <w:rPr>
          <w:noProof/>
        </w:rPr>
        <w:drawing>
          <wp:inline distT="0" distB="0" distL="0" distR="0">
            <wp:extent cx="438150" cy="952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4"/>
                    <a:stretch>
                      <a:fillRect/>
                    </a:stretch>
                  </pic:blipFill>
                  <pic:spPr>
                    <a:xfrm>
                      <a:off x="0" y="0"/>
                      <a:ext cx="438150" cy="9525"/>
                    </a:xfrm>
                    <a:prstGeom prst="rect">
                      <a:avLst/>
                    </a:prstGeom>
                  </pic:spPr>
                </pic:pic>
              </a:graphicData>
            </a:graphic>
          </wp:inline>
        </w:drawing>
      </w:r>
      <w:r>
        <w:t xml:space="preserve">İlgi yazımızda belirtilen hususlardan; Kuruluşumuza 2025 yılı için yapılan taşıma taleplerinden uygun görülen ve planlama yapılan taşımalardan, müşteri kaynaklı tren iptali için TCDD Genel Müdürlüğüne ödenen ücretlerin müşterilerimizden tahsil edilmesi konusunda;  2025 yılının izleme ve değerlendirme yılı kabul edilmesi ancak, 2025 yılı için </w:t>
      </w:r>
      <w:proofErr w:type="gramStart"/>
      <w:r>
        <w:t>tahsilat</w:t>
      </w:r>
      <w:proofErr w:type="gramEnd"/>
      <w:r>
        <w:t xml:space="preserve"> yapılmaması ve tahakkuk aşamasına kadar Eşya Tarifesi 1.14 maddesi hükümlerine göre bütün </w:t>
      </w:r>
      <w:proofErr w:type="spellStart"/>
      <w:r>
        <w:t>işlemlemlerin</w:t>
      </w:r>
      <w:proofErr w:type="spellEnd"/>
      <w:r>
        <w:t xml:space="preserve"> yapılması kararı alınmıştır. Bu kapsamdaki tren iptalleri ile iptallere ait mali değerler müşterilerimize periyodik olarak bildirilecektir.</w:t>
      </w:r>
    </w:p>
    <w:p w:rsidR="00E55CE0" w:rsidRDefault="00F57A07">
      <w:pPr>
        <w:ind w:left="865" w:right="3"/>
      </w:pPr>
      <w:r>
        <w:rPr>
          <w:noProof/>
        </w:rPr>
        <w:drawing>
          <wp:inline distT="0" distB="0" distL="0" distR="0">
            <wp:extent cx="438150" cy="952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4"/>
                    <a:stretch>
                      <a:fillRect/>
                    </a:stretch>
                  </pic:blipFill>
                  <pic:spPr>
                    <a:xfrm>
                      <a:off x="0" y="0"/>
                      <a:ext cx="438150" cy="9525"/>
                    </a:xfrm>
                    <a:prstGeom prst="rect">
                      <a:avLst/>
                    </a:prstGeom>
                  </pic:spPr>
                </pic:pic>
              </a:graphicData>
            </a:graphic>
          </wp:inline>
        </w:drawing>
      </w:r>
      <w:r>
        <w:t>Buna göre, söz konusu müşteri kaynaklı tren iptali için TCDD Genel Müdürlüğüne ödenen ücretlerin, 2026 yılında müşterilerimizden tahsil edilmesine başlanacağından, periyodik olarak gönderilen verilerin ve 2025 yılında uygulama koşullarının değerlendirilmesi ve belirlenmesi amacıyla, 2025 yılı Nisan, Ağustos aylarında ve son olarak 12 Aralık'ta müşterilerimizle geniş katılımlı toplantı yapılacaktır.</w:t>
      </w:r>
    </w:p>
    <w:p w:rsidR="00E55CE0" w:rsidRDefault="00F57A07">
      <w:pPr>
        <w:spacing w:after="66"/>
        <w:ind w:left="865" w:right="3"/>
      </w:pPr>
      <w:r>
        <w:rPr>
          <w:noProof/>
        </w:rPr>
        <w:drawing>
          <wp:inline distT="0" distB="0" distL="0" distR="0">
            <wp:extent cx="438150" cy="952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4"/>
                    <a:stretch>
                      <a:fillRect/>
                    </a:stretch>
                  </pic:blipFill>
                  <pic:spPr>
                    <a:xfrm>
                      <a:off x="0" y="0"/>
                      <a:ext cx="438150" cy="9525"/>
                    </a:xfrm>
                    <a:prstGeom prst="rect">
                      <a:avLst/>
                    </a:prstGeom>
                  </pic:spPr>
                </pic:pic>
              </a:graphicData>
            </a:graphic>
          </wp:inline>
        </w:drawing>
      </w:r>
      <w:r>
        <w:t>Bilgilerinizi rica ederiz.</w:t>
      </w:r>
    </w:p>
    <w:p w:rsidR="00F57A07" w:rsidRPr="00F57A07" w:rsidRDefault="00F57A07" w:rsidP="00F57A07">
      <w:pPr>
        <w:tabs>
          <w:tab w:val="center" w:pos="1215"/>
        </w:tabs>
        <w:spacing w:after="0" w:line="259" w:lineRule="auto"/>
        <w:ind w:left="0" w:firstLine="0"/>
        <w:jc w:val="left"/>
      </w:pPr>
      <w:r>
        <w:tab/>
      </w:r>
      <w:r>
        <w:rPr>
          <w:noProof/>
        </w:rPr>
        <w:drawing>
          <wp:inline distT="0" distB="0" distL="0" distR="0">
            <wp:extent cx="438150" cy="952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4"/>
                    <a:stretch>
                      <a:fillRect/>
                    </a:stretch>
                  </pic:blipFill>
                  <pic:spPr>
                    <a:xfrm>
                      <a:off x="0" y="0"/>
                      <a:ext cx="438150" cy="9525"/>
                    </a:xfrm>
                    <a:prstGeom prst="rect">
                      <a:avLst/>
                    </a:prstGeom>
                  </pic:spPr>
                </pic:pic>
              </a:graphicData>
            </a:graphic>
          </wp:inline>
        </w:drawing>
      </w:r>
    </w:p>
    <w:sectPr w:rsidR="00F57A07" w:rsidRPr="00F57A07" w:rsidSect="00D57F1B">
      <w:pgSz w:w="11906" w:h="16838"/>
      <w:pgMar w:top="1440" w:right="866" w:bottom="1440" w:left="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55CE0"/>
    <w:rsid w:val="002A3D1E"/>
    <w:rsid w:val="00D57F1B"/>
    <w:rsid w:val="00E55CE0"/>
    <w:rsid w:val="00F57A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1B"/>
    <w:pPr>
      <w:spacing w:after="8" w:line="269" w:lineRule="auto"/>
      <w:ind w:left="89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rsid w:val="00D57F1B"/>
    <w:pPr>
      <w:keepNext/>
      <w:keepLines/>
      <w:spacing w:after="54" w:line="265" w:lineRule="auto"/>
      <w:ind w:left="895" w:hanging="10"/>
      <w:jc w:val="center"/>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D57F1B"/>
    <w:rPr>
      <w:rFonts w:ascii="Times New Roman" w:eastAsia="Times New Roman" w:hAnsi="Times New Roman" w:cs="Times New Roman"/>
      <w:color w:val="000000"/>
      <w:sz w:val="24"/>
    </w:rPr>
  </w:style>
  <w:style w:type="table" w:customStyle="1" w:styleId="TableGrid">
    <w:name w:val="TableGrid"/>
    <w:rsid w:val="00D57F1B"/>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2A3D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3D1E"/>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 A T S O</dc:creator>
  <cp:lastModifiedBy>user</cp:lastModifiedBy>
  <cp:revision>2</cp:revision>
  <dcterms:created xsi:type="dcterms:W3CDTF">2025-01-07T09:39:00Z</dcterms:created>
  <dcterms:modified xsi:type="dcterms:W3CDTF">2025-01-07T09:39:00Z</dcterms:modified>
</cp:coreProperties>
</file>